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Owned the end-to-end measurement of marketing campaigns, utilizing SQL and Python to build attribution models that track ROI across paid and owned channels.</w:t>
        <w:br/>
      </w:r>
    </w:p>
    <w:p>
      <w:r>
        <w:rPr>
          <w:rFonts w:ascii="Times New Roman" w:hAnsi="Times New Roman"/>
          <w:sz w:val="20"/>
        </w:rPr>
        <w:br/>
        <w:t>• Designed and executed A/B testing frameworks to evaluate user behavior, providing strategic recommendations that optimized campaign spend and drove measurable growth.</w:t>
        <w:br/>
      </w:r>
    </w:p>
    <w:p>
      <w:r>
        <w:rPr>
          <w:rFonts w:ascii="Times New Roman" w:hAnsi="Times New Roman"/>
          <w:sz w:val="20"/>
        </w:rPr>
        <w:br/>
        <w:t>• Developed forecasting models for customer acquisition and marketing payback, translating complex data into actionable insights for strategic finance and marketing leadership.</w:t>
        <w:br/>
      </w:r>
    </w:p>
    <w:p>
      <w:r>
        <w:rPr>
          <w:rFonts w:ascii="Times New Roman" w:hAnsi="Times New Roman"/>
          <w:sz w:val="20"/>
        </w:rPr>
        <w:br/>
        <w:t>• Integrated data from BigQuery and Snowflake into unified marketing dashboards, ensuring real-time visibility into attribution metrics and campaign performance.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implement event measurement tracking, ensuring accurate data collection for complex marketing experiments and attribution analysis.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