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executed A/B testing frameworks to validate product feature impact, utilizing SQL and Python to perform hypothesis testing and measure performance against core product metrics.</w:t>
        <w:br/>
      </w:r>
    </w:p>
    <w:p>
      <w:r>
        <w:rPr>
          <w:rFonts w:ascii="Times New Roman" w:hAnsi="Times New Roman"/>
          <w:sz w:val="20"/>
        </w:rPr>
        <w:br/>
        <w:t>• Partnered with Sales and Finance stakeholders to define and monitor key business KPIs, translating complex data-driven insights into actionable strategy recommendations for the leadership team.</w:t>
        <w:br/>
      </w:r>
    </w:p>
    <w:p>
      <w:r>
        <w:rPr>
          <w:rFonts w:ascii="Times New Roman" w:hAnsi="Times New Roman"/>
          <w:sz w:val="20"/>
        </w:rPr>
        <w:br/>
        <w:t>• Led cross-functional initiatives to improve operational scalability, documenting processes and mentoring junior team members to ensure data governance and consistent reporting standards.</w:t>
        <w:br/>
      </w:r>
    </w:p>
    <w:p>
      <w:r>
        <w:rPr>
          <w:rFonts w:ascii="Times New Roman" w:hAnsi="Times New Roman"/>
          <w:sz w:val="20"/>
        </w:rPr>
        <w:br/>
        <w:t>• Applied first-principles thinking to break down ambiguous business problems, sizing opportunity areas to prioritize the strategic roadmap for cross-functional stakeholders.</w:t>
        <w:br/>
      </w:r>
    </w:p>
    <w:p>
      <w:r>
        <w:rPr>
          <w:rFonts w:ascii="Times New Roman" w:hAnsi="Times New Roman"/>
          <w:sz w:val="20"/>
        </w:rPr>
        <w:br/>
        <w:t>• Optimized SQL query performance using advanced window functions and CTEs to manage large-scale datasets, directly supporting high-level executive decision-making and product strategy.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