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campaigns, utilizing statistical modeling and causal inference techniques to isolate variable impact and optimize marketing spend.</w:t>
        <w:br/>
      </w:r>
    </w:p>
    <w:p>
      <w:r>
        <w:rPr>
          <w:rFonts w:ascii="Times New Roman" w:hAnsi="Times New Roman"/>
          <w:sz w:val="20"/>
        </w:rPr>
        <w:br/>
        <w:t>• Built Python-based analytical systems to evaluate AI-powered features, focusing on metric tracking and statistical significance to ensure product-market fit.</w:t>
        <w:br/>
      </w:r>
    </w:p>
    <w:p>
      <w:r>
        <w:rPr>
          <w:rFonts w:ascii="Times New Roman" w:hAnsi="Times New Roman"/>
          <w:sz w:val="20"/>
        </w:rPr>
        <w:br/>
        <w:t>• Integrated machine learning principles into sales forecasting models, identifying customer segments to drive revenue growth while maintaining a rigorous, research-oriented approach to data quality.</w:t>
        <w:br/>
      </w:r>
    </w:p>
    <w:p>
      <w:r>
        <w:rPr>
          <w:rFonts w:ascii="Times New Roman" w:hAnsi="Times New Roman"/>
          <w:sz w:val="20"/>
        </w:rPr>
        <w:br/>
        <w:t>• Leveraged dbt and BigQuery to architect scalable data systems, applying advanced analytical frameworks to support cross-functional machine learning initiatives and data-driven product decisions.</w:t>
        <w:br/>
      </w:r>
    </w:p>
    <w:p>
      <w:r>
        <w:rPr>
          <w:rFonts w:ascii="Times New Roman" w:hAnsi="Times New Roman"/>
          <w:sz w:val="20"/>
        </w:rPr>
        <w:br/>
        <w:t>• Collaborated with cross-functional product teams to define success metrics for new features, applying experimental design to translate raw user data into actionable insights and strategic recommendations.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