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A/B testing frameworks and conducted experimental analysis on marketing campaigns to optimize user acquisition, resulting in a 300% increase in new customer acquisition over 12 months.</w:t>
        <w:br/>
      </w:r>
    </w:p>
    <w:p>
      <w:r>
        <w:rPr>
          <w:rFonts w:ascii="Times New Roman" w:hAnsi="Times New Roman"/>
          <w:sz w:val="20"/>
        </w:rPr>
        <w:br/>
        <w:t>• Engineered scalable data pipelines utilizing distributed data systems and Python to process large-scale datasets, ensuring high data quality and accessibility for cross-functional product and finance stakeholders.</w:t>
        <w:br/>
      </w:r>
    </w:p>
    <w:p>
      <w:r>
        <w:rPr>
          <w:rFonts w:ascii="Times New Roman" w:hAnsi="Times New Roman"/>
          <w:sz w:val="20"/>
        </w:rPr>
        <w:br/>
        <w:t>• Architected robust forecasting models to predict borrower default risk, utilizing complex SQL and statistical methods to inform product-level lending strategies.</w:t>
        <w:br/>
      </w:r>
    </w:p>
    <w:p>
      <w:r>
        <w:rPr>
          <w:rFonts w:ascii="Times New Roman" w:hAnsi="Times New Roman"/>
          <w:sz w:val="20"/>
        </w:rPr>
        <w:br/>
        <w:t>• Collaborated with product teams to define key metrics and perform deep-dive analysis on user behavior, directly influencing feature prioritization and roadmap development.</w:t>
        <w:br/>
      </w:r>
    </w:p>
    <w:p>
      <w:r>
        <w:rPr>
          <w:rFonts w:ascii="Times New Roman" w:hAnsi="Times New Roman"/>
          <w:sz w:val="20"/>
        </w:rPr>
        <w:br/>
        <w:t>• Built automated data quality monitoring tools and reporting systems that promoted data democratization, allowing non-technical teams to derive actionable insights independently.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