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data transformation workflows by designing modular SQL models; while utilizing standard ETL tools, I rapidly adapted to dbt-style architectural patterns to streamline data modeling and version control.</w:t>
        <w:br/>
      </w:r>
    </w:p>
    <w:p>
      <w:r>
        <w:rPr>
          <w:rFonts w:ascii="Times New Roman" w:hAnsi="Times New Roman"/>
          <w:sz w:val="20"/>
        </w:rPr>
        <w:br/>
        <w:t>• Developed robust A/B testing frameworks to validate marketing initiatives, employing statistical methods to measure causal links between customer acquisition campaigns and conversion lift.</w:t>
        <w:br/>
      </w:r>
    </w:p>
    <w:p>
      <w:r>
        <w:rPr>
          <w:rFonts w:ascii="Times New Roman" w:hAnsi="Times New Roman"/>
          <w:sz w:val="20"/>
        </w:rPr>
        <w:br/>
        <w:t>• Performed complex root cause analysis on operational data, identifying performance bottlenecks and proactively resolving data quality issues to ensure 99%+ accuracy in reporting.</w:t>
        <w:br/>
      </w:r>
    </w:p>
    <w:p>
      <w:r>
        <w:rPr>
          <w:rFonts w:ascii="Times New Roman" w:hAnsi="Times New Roman"/>
          <w:sz w:val="20"/>
        </w:rPr>
        <w:br/>
        <w:t>• Transitioned from manual reporting to automated business intelligence solutions, leveraging visualization tools like Tableau and Power BI to create scalable, self-service dashboards for executive stakeholders.</w:t>
        <w:br/>
      </w:r>
    </w:p>
    <w:p>
      <w:r>
        <w:rPr>
          <w:rFonts w:ascii="Times New Roman" w:hAnsi="Times New Roman"/>
          <w:sz w:val="20"/>
        </w:rPr>
        <w:br/>
        <w:t>• Applied experimental design and causal inference techniques to evaluate the impact of new service features, translating raw behavioral data into strategic recommendations for cross-functional product teams.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