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Analyzed end-to-end order lifecycle performance data to identify bottlenecks in fulfillment and shipping, providing actionable insights that increased operational efficiency by 25%.</w:t>
        <w:br/>
      </w:r>
    </w:p>
    <w:p>
      <w:r>
        <w:rPr>
          <w:rFonts w:ascii="Times New Roman" w:hAnsi="Times New Roman"/>
          <w:sz w:val="20"/>
        </w:rPr>
        <w:br/>
        <w:t>• Partnered with cross-functional supply chain and store operations teams to conduct root cause analysis on order discrepancies, reducing error rates and improving the overall customer experience.</w:t>
        <w:br/>
      </w:r>
    </w:p>
    <w:p>
      <w:r>
        <w:rPr>
          <w:rFonts w:ascii="Times New Roman" w:hAnsi="Times New Roman"/>
          <w:sz w:val="20"/>
        </w:rPr>
        <w:br/>
        <w:t>• Contributed to peak planning and capacity analysis by modeling seasonal order volume trends, enabling the team to optimize staffing and resource allocation during high-traffic periods.</w:t>
        <w:br/>
      </w:r>
    </w:p>
    <w:p>
      <w:r>
        <w:rPr>
          <w:rFonts w:ascii="Times New Roman" w:hAnsi="Times New Roman"/>
          <w:sz w:val="20"/>
        </w:rPr>
        <w:br/>
        <w:t>• Translated complex business requirements from supply chain and merchandising stakeholders into SQL-based performance metrics and automated dashboards to support inventory and order management system (OMS) initiatives.</w:t>
        <w:br/>
      </w:r>
    </w:p>
    <w:p>
      <w:r>
        <w:rPr>
          <w:rFonts w:ascii="Times New Roman" w:hAnsi="Times New Roman"/>
          <w:sz w:val="20"/>
        </w:rPr>
        <w:br/>
        <w:t>• Conducted scenario modeling on return flows and post-purchase customer touchpoints to identify cost-saving opportunities and improve omnichannel service delivery.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