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generative AI tools (Copilot, Claude) into the development workflow to accelerate unit testing and boilerplate generation for production software, increasing feature delivery velocity.</w:t>
        <w:br/>
      </w:r>
    </w:p>
    <w:p>
      <w:r>
        <w:rPr>
          <w:rFonts w:ascii="Times New Roman" w:hAnsi="Times New Roman"/>
          <w:sz w:val="20"/>
        </w:rPr>
        <w:br/>
        <w:t>• Engineered scalable data architectures and distributed systems, utilizing GCP and AWS to process large-scale datasets while ensuring high availability and system reliability.</w:t>
        <w:br/>
      </w:r>
    </w:p>
    <w:p>
      <w:r>
        <w:rPr>
          <w:rFonts w:ascii="Times New Roman" w:hAnsi="Times New Roman"/>
          <w:sz w:val="20"/>
        </w:rPr>
        <w:br/>
        <w:t>• Collaborated directly with cross-functional domain experts to translate complex clinical operational requirements into technical specifications, mirroring a 0-to-1 product development environment.</w:t>
        <w:br/>
      </w:r>
    </w:p>
    <w:p>
      <w:r>
        <w:rPr>
          <w:rFonts w:ascii="Times New Roman" w:hAnsi="Times New Roman"/>
          <w:sz w:val="20"/>
        </w:rPr>
        <w:br/>
        <w:t>• Built robust guardrails and CI/CD pipelines to empower non-engineers to contribute code safely, ensuring high maintainability and production-grade quality across the organization.</w:t>
        <w:br/>
      </w:r>
    </w:p>
    <w:p>
      <w:r>
        <w:rPr>
          <w:rFonts w:ascii="Times New Roman" w:hAnsi="Times New Roman"/>
          <w:sz w:val="20"/>
        </w:rPr>
        <w:br/>
        <w:t>• Applied a 'build-measure-learn' methodology to prototype internal tools rapidly, iterating on feedback from operations teams to solve systemic bottlenecks in clinical workflows.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