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partners in finance and operations to design robust, compliant data governance frameworks and documentation for critical business datasets.</w:t>
        <w:br/>
      </w:r>
    </w:p>
    <w:p>
      <w:r>
        <w:rPr>
          <w:rFonts w:ascii="Times New Roman" w:hAnsi="Times New Roman"/>
          <w:sz w:val="20"/>
        </w:rPr>
        <w:br/>
        <w:t>• Provided technical mentorship to junior team members, conducting code reviews and sharing best practices in Python and SQL to elevate overall team delivery standards.</w:t>
        <w:br/>
      </w:r>
    </w:p>
    <w:p>
      <w:r>
        <w:rPr>
          <w:rFonts w:ascii="Times New Roman" w:hAnsi="Times New Roman"/>
          <w:sz w:val="20"/>
        </w:rPr>
        <w:br/>
        <w:t>• Maintained and optimized data pipelines for financial reporting, ensuring high performance and data integrity while applying disciplined debugging and troubleshooting techniques.</w:t>
        <w:br/>
      </w:r>
    </w:p>
    <w:p>
      <w:r>
        <w:rPr>
          <w:rFonts w:ascii="Times New Roman" w:hAnsi="Times New Roman"/>
          <w:sz w:val="20"/>
        </w:rPr>
        <w:br/>
        <w:t>• Leveraged R and Python to analyze complex datasets, delivering insights that informed operational strategies and supported scalable data architecture decisions.</w:t>
        <w:br/>
      </w:r>
    </w:p>
    <w:p>
      <w:r>
        <w:rPr>
          <w:rFonts w:ascii="Times New Roman" w:hAnsi="Times New Roman"/>
          <w:sz w:val="20"/>
        </w:rPr>
        <w:br/>
        <w:t>• Partnered with business stakeholders to translate actuarial and financial requirements into reliable, production-ready data solutions and automated runbooks.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