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Integrated Salesforce Sales Cloud and Marketing Cloud data streams to automate reporting workflows, ensuring consistent contact records and reducing manual data entry by 8 hours per week.</w:t>
        <w:br/>
      </w:r>
    </w:p>
    <w:p>
      <w:r>
        <w:rPr>
          <w:rFonts w:ascii="Times New Roman" w:hAnsi="Times New Roman"/>
          <w:sz w:val="20"/>
        </w:rPr>
        <w:br/>
        <w:t>• Engineered ETL pipelines using Python and SQL to facilitate data movement between Salesforce ecosystems, utilizing Marketing Cloud Connect logic to improve segment targeting and audience health.</w:t>
        <w:br/>
      </w:r>
    </w:p>
    <w:p>
      <w:r>
        <w:rPr>
          <w:rFonts w:ascii="Times New Roman" w:hAnsi="Times New Roman"/>
          <w:sz w:val="20"/>
        </w:rPr>
        <w:br/>
        <w:t>• Established a formal data dictionary and governance framework for customer CRM data, enforcing strict deduplication rules and consent flags (GDPR/CAN-SPAM) to maintain a single source of truth.</w:t>
        <w:br/>
      </w:r>
    </w:p>
    <w:p>
      <w:r>
        <w:rPr>
          <w:rFonts w:ascii="Times New Roman" w:hAnsi="Times New Roman"/>
          <w:sz w:val="20"/>
        </w:rPr>
        <w:br/>
        <w:t>• Modeled customer journey data into unified structures, bridging the gap between raw Salesforce Sales Cloud entries and downstream analytics to support marketing attribution and ESP migration planning.</w:t>
        <w:br/>
      </w:r>
    </w:p>
    <w:p>
      <w:r>
        <w:rPr>
          <w:rFonts w:ascii="Times New Roman" w:hAnsi="Times New Roman"/>
          <w:sz w:val="20"/>
        </w:rPr>
        <w:br/>
        <w:t>• Optimized Synchronized Data Extensions and API integrations to automate marketing suppression lists and field mapping, ensuring high-accuracy data flows for multi-channel email campaigns.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