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forecast models and automated reporting dashboards to track team KPIs and client growth trends, enabling data-driven strategic planning.</w:t>
        <w:br/>
      </w:r>
    </w:p>
    <w:p>
      <w:r>
        <w:rPr>
          <w:rFonts w:ascii="Times New Roman" w:hAnsi="Times New Roman"/>
          <w:sz w:val="20"/>
        </w:rPr>
        <w:br/>
        <w:t>• Collaborated directly with business stakeholders to conduct thorough requirements gathering, translating complex needs into technical specifications for custom reporting solutions.</w:t>
        <w:br/>
      </w:r>
    </w:p>
    <w:p>
      <w:r>
        <w:rPr>
          <w:rFonts w:ascii="Times New Roman" w:hAnsi="Times New Roman"/>
          <w:sz w:val="20"/>
        </w:rPr>
        <w:br/>
        <w:t>• Streamlined data preparation workflows by implementing advanced Power Query transformations, ensuring high-quality data integration from various case management sources.</w:t>
        <w:br/>
      </w:r>
    </w:p>
    <w:p>
      <w:r>
        <w:rPr>
          <w:rFonts w:ascii="Times New Roman" w:hAnsi="Times New Roman"/>
          <w:sz w:val="20"/>
        </w:rPr>
        <w:br/>
        <w:t>• Created comprehensive process guides and documentation for internal reports to improve monitoring efficiency and ensure consistent data integrity for end-users.</w:t>
        <w:br/>
      </w:r>
    </w:p>
    <w:p>
      <w:r>
        <w:rPr>
          <w:rFonts w:ascii="Times New Roman" w:hAnsi="Times New Roman"/>
          <w:sz w:val="20"/>
        </w:rPr>
        <w:br/>
        <w:t>• Managed a portfolio of incoming reporting requests, verifying data accuracy and ensuring timely delivery of specialized insights to internal teams and external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