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legal and operations teams to verify report accuracy and integrity, ensuring all compliance and immigration case data met internal quality standards.</w:t>
        <w:br/>
      </w:r>
    </w:p>
    <w:p>
      <w:r>
        <w:rPr>
          <w:rFonts w:ascii="Times New Roman" w:hAnsi="Times New Roman"/>
          <w:sz w:val="20"/>
        </w:rPr>
        <w:br/>
        <w:t>• Provided high-touch reporting support to internal stakeholders and external clients, translating complex immigration case requirements into actionable dashboard specifications and process guides.</w:t>
        <w:br/>
      </w:r>
    </w:p>
    <w:p>
      <w:r>
        <w:rPr>
          <w:rFonts w:ascii="Times New Roman" w:hAnsi="Times New Roman"/>
          <w:sz w:val="20"/>
        </w:rPr>
        <w:br/>
        <w:t>• Applied strong attention to detail while managing multiple reporting deliverables, including tracking EAD and document milestones to ensure client satisfaction and adherence to SLAs.</w:t>
        <w:br/>
      </w:r>
    </w:p>
    <w:p>
      <w:r>
        <w:rPr>
          <w:rFonts w:ascii="Times New Roman" w:hAnsi="Times New Roman"/>
          <w:sz w:val="20"/>
        </w:rPr>
        <w:br/>
        <w:t>• Transitioned data reporting workflows into intuitive business intelligence platforms, leveraging transferable skills from SAP Business Objects and similar web-based enterprise reporting tools to visualize case status.</w:t>
        <w:br/>
      </w:r>
    </w:p>
    <w:p>
      <w:r>
        <w:rPr>
          <w:rFonts w:ascii="Times New Roman" w:hAnsi="Times New Roman"/>
          <w:sz w:val="20"/>
        </w:rPr>
        <w:br/>
        <w:t>• Partnered with legal professionals to identify process bottlenecks, providing analytical insights that directly improved case lifecycle tracking and reporting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