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paid media and promotional campaign performance across channels (Meta, Google Ads) to optimize ROI, integrating GA4 insights to drive actionable recommendations.</w:t>
        <w:br/>
      </w:r>
    </w:p>
    <w:p>
      <w:r>
        <w:rPr>
          <w:rFonts w:ascii="Times New Roman" w:hAnsi="Times New Roman"/>
          <w:sz w:val="20"/>
        </w:rPr>
        <w:br/>
        <w:t>• Built and validated customer audience segments and activation lists for targeted campaigns, utilizing best practices for platforms like Meta and Google Ads.</w:t>
        <w:br/>
      </w:r>
    </w:p>
    <w:p>
      <w:r>
        <w:rPr>
          <w:rFonts w:ascii="Times New Roman" w:hAnsi="Times New Roman"/>
          <w:sz w:val="20"/>
        </w:rPr>
        <w:br/>
        <w:t>• Conducted cohort and LTV analysis on transactional datasets to identify churn risks, providing data-driven recommendations to improve customer retention.</w:t>
        <w:br/>
      </w:r>
    </w:p>
    <w:p>
      <w:r>
        <w:rPr>
          <w:rFonts w:ascii="Times New Roman" w:hAnsi="Times New Roman"/>
          <w:sz w:val="20"/>
        </w:rPr>
        <w:br/>
        <w:t>• Developed and maintained Power BI and Looker dashboards to monitor marketing funnels, effectively visualizing KPIs for cross-functional stakeholders.</w:t>
        <w:br/>
      </w:r>
    </w:p>
    <w:p>
      <w:r>
        <w:rPr>
          <w:rFonts w:ascii="Times New Roman" w:hAnsi="Times New Roman"/>
          <w:sz w:val="20"/>
        </w:rPr>
        <w:br/>
        <w:t>• Managed version control via Git for collaborative codebases to ensure production stability when deploying automated marketing analytics pipelines.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