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documented canonical data models for loan portfolio analysis, establishing business rules and data lineage to ensure high data quality and integrity across complex lending schemas.</w:t>
        <w:br/>
      </w:r>
    </w:p>
    <w:p>
      <w:r>
        <w:rPr>
          <w:rFonts w:ascii="Times New Roman" w:hAnsi="Times New Roman"/>
          <w:sz w:val="20"/>
        </w:rPr>
        <w:br/>
        <w:t>• Partnered with business stakeholders to translate complex financial requirements into technical specifications for normalized data models, ensuring alignment with organizational data governance standards.</w:t>
        <w:br/>
      </w:r>
    </w:p>
    <w:p>
      <w:r>
        <w:rPr>
          <w:rFonts w:ascii="Times New Roman" w:hAnsi="Times New Roman"/>
          <w:sz w:val="20"/>
        </w:rPr>
        <w:br/>
        <w:t>• Leveraged advanced Excel and SQL to analyze market data, trade positions, and collateral attributes, providing actionable insights that support financial risk mitigation.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disparate data sources into unified schemas, applying rigorous data validation rules to ensure accuracy in financial reporting and analysis.</w:t>
        <w:br/>
      </w:r>
    </w:p>
    <w:p>
      <w:r>
        <w:rPr>
          <w:rFonts w:ascii="Times New Roman" w:hAnsi="Times New Roman"/>
          <w:sz w:val="20"/>
        </w:rPr>
        <w:br/>
        <w:t>• Developed automated reporting dashboards in Power BI to monitor data quality and performance metrics, facilitating informed decision-making for internal stakeholders in a financial services context.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