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stakeholders to establish data governance frameworks, ensuring consistent metric definitions and reliable data quality across all reporting platforms.</w:t>
        <w:br/>
      </w:r>
    </w:p>
    <w:p>
      <w:r>
        <w:rPr>
          <w:rFonts w:ascii="Times New Roman" w:hAnsi="Times New Roman"/>
          <w:sz w:val="20"/>
        </w:rPr>
        <w:br/>
        <w:t>• Built and maintained scalable data pipelines, incorporating dbt best practices to streamline transformation workflows and improve data delivery consistency.</w:t>
        <w:br/>
      </w:r>
    </w:p>
    <w:p>
      <w:r>
        <w:rPr>
          <w:rFonts w:ascii="Times New Roman" w:hAnsi="Times New Roman"/>
          <w:sz w:val="20"/>
        </w:rPr>
        <w:br/>
        <w:t>• Engineered robust data pipelines and performed ongoing maintenance to ensure 99.9% uptime of mission-critical dashboards for executive leadership.</w:t>
        <w:br/>
      </w:r>
    </w:p>
    <w:p>
      <w:r>
        <w:rPr>
          <w:rFonts w:ascii="Times New Roman" w:hAnsi="Times New Roman"/>
          <w:sz w:val="20"/>
        </w:rPr>
        <w:br/>
        <w:t>• Leveraged Google Sheets for ad-hoc analysis and collaborative reporting, bridging the gap between raw data exports and automated BI visualization tools.</w:t>
        <w:br/>
      </w:r>
    </w:p>
    <w:p>
      <w:r>
        <w:rPr>
          <w:rFonts w:ascii="Times New Roman" w:hAnsi="Times New Roman"/>
          <w:sz w:val="20"/>
        </w:rPr>
        <w:br/>
        <w:t>• Developed proficiency in Looker’s modeling layer to create self-service analytics modules, enabling stakeholders to derive actionable insights independently.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