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Evaluated third-party data providers for loan portfolio risk, conducting data profiling and quality assessments to ensure alignment with FCRA/GLBA compliance standards and project objectives.</w:t>
        <w:br/>
      </w:r>
    </w:p>
    <w:p>
      <w:r>
        <w:rPr>
          <w:rFonts w:ascii="Times New Roman" w:hAnsi="Times New Roman"/>
          <w:sz w:val="20"/>
        </w:rPr>
        <w:br/>
        <w:t>• Partnered with cross-functional leadership to support vendor contract negotiations and scenario modeling, translating data acquisition needs into actionable financial forecasts and ROI requirements.</w:t>
        <w:br/>
      </w:r>
    </w:p>
    <w:p>
      <w:r>
        <w:rPr>
          <w:rFonts w:ascii="Times New Roman" w:hAnsi="Times New Roman"/>
          <w:sz w:val="20"/>
        </w:rPr>
        <w:br/>
        <w:t>• Led end-to-end data integration projects by architecting real-time data pipelines and batch processes, ensuring strict adherence to latency SLAs and data reliability metrics.</w:t>
        <w:br/>
      </w:r>
    </w:p>
    <w:p>
      <w:r>
        <w:rPr>
          <w:rFonts w:ascii="Times New Roman" w:hAnsi="Times New Roman"/>
          <w:sz w:val="20"/>
        </w:rPr>
        <w:br/>
        <w:t>• Mentored junior analysts on experiment design and data storytelling, championing best practices for building decision algorithms and performance tracking frameworks.</w:t>
        <w:br/>
      </w:r>
    </w:p>
    <w:p>
      <w:r>
        <w:rPr>
          <w:rFonts w:ascii="Times New Roman" w:hAnsi="Times New Roman"/>
          <w:sz w:val="20"/>
        </w:rPr>
        <w:br/>
        <w:t>• Designed and executed A/B testing frameworks in production environments to validate the predictive lift of new data elements on customer acquisition and model performance.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