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Serve as the primary scheduling and appointment coordination lead for high-profile stakeholders and partners, ensuring seamless logistics for meetings and founder calls.</w:t>
        <w:br/>
      </w:r>
    </w:p>
    <w:p>
      <w:r>
        <w:rPr>
          <w:rFonts w:ascii="Times New Roman" w:hAnsi="Times New Roman"/>
          <w:sz w:val="20"/>
        </w:rPr>
        <w:br/>
        <w:t>• Managed high-volume multi-line phone systems and professional communication channels, serving as the first point of contact for external partners and VIPs with discretion and professionalism.</w:t>
        <w:br/>
      </w:r>
    </w:p>
    <w:p>
      <w:r>
        <w:rPr>
          <w:rFonts w:ascii="Times New Roman" w:hAnsi="Times New Roman"/>
          <w:sz w:val="20"/>
        </w:rPr>
        <w:br/>
        <w:t>• Collaborated with the leadership team on recruiting coordination, including pipeline management, candidate sourcing, and interview scheduling to support firm growth.</w:t>
        <w:br/>
      </w:r>
    </w:p>
    <w:p>
      <w:r>
        <w:rPr>
          <w:rFonts w:ascii="Times New Roman" w:hAnsi="Times New Roman"/>
          <w:sz w:val="20"/>
        </w:rPr>
        <w:br/>
        <w:t>• Streamlined office operations by managing onsite vendor coordination, supply procurement, and facilities maintenance to ensure an efficient work environment.</w:t>
        <w:br/>
      </w:r>
    </w:p>
    <w:p>
      <w:r>
        <w:rPr>
          <w:rFonts w:ascii="Times New Roman" w:hAnsi="Times New Roman"/>
          <w:sz w:val="20"/>
        </w:rPr>
        <w:br/>
        <w:t>• Prepared high-stakes meeting briefings and executive presentation materials, utilizing proactive research to ensure the leadership team is fully equipped for every investor and LP engagement.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