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Designed and executed A/B experiments to test marketing messaging, utilizing statistical analysis to measure causal impact on customer engagement and refine conversion strategies.</w:t>
        <w:br/>
      </w:r>
    </w:p>
    <w:p>
      <w:r>
        <w:rPr>
          <w:rFonts w:ascii="Times New Roman" w:hAnsi="Times New Roman"/>
          <w:sz w:val="20"/>
        </w:rPr>
        <w:br/>
        <w:t>• Developed propensity modeling frameworks to score leads and segment audiences, enabling high-precision targeting that increased customer acquisition efficiency by 300%.</w:t>
        <w:br/>
      </w:r>
    </w:p>
    <w:p>
      <w:r>
        <w:rPr>
          <w:rFonts w:ascii="Times New Roman" w:hAnsi="Times New Roman"/>
          <w:sz w:val="20"/>
        </w:rPr>
        <w:br/>
        <w:t>• Conducted end-to-end campaign analysis across digital channels, leveraging Python-based statistical models to evaluate performance and drive data-backed marketing investment decisions.</w:t>
        <w:br/>
      </w:r>
    </w:p>
    <w:p>
      <w:r>
        <w:rPr>
          <w:rFonts w:ascii="Times New Roman" w:hAnsi="Times New Roman"/>
          <w:sz w:val="20"/>
        </w:rPr>
        <w:br/>
        <w:t>• Partnered with cross-functional stakeholders to design rigorous experiment frameworks, ensuring measurement accuracy and delivering actionable insights that optimized marketing spend.</w:t>
        <w:br/>
      </w:r>
    </w:p>
    <w:p>
      <w:r>
        <w:rPr>
          <w:rFonts w:ascii="Times New Roman" w:hAnsi="Times New Roman"/>
          <w:sz w:val="20"/>
        </w:rPr>
        <w:br/>
        <w:t>• Built automated audience segmentation workflows, utilizing Python and SQL to dynamically identify high-value customer cohorts and tailor marketing initiatives for improved ROI.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