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Analyzed customer behavior to build LTV modeling frameworks, identifying high-value cohorts that contributed to a 300% increase in segment revenue over 12 months.</w:t>
        <w:br/>
      </w:r>
    </w:p>
    <w:p>
      <w:r>
        <w:rPr>
          <w:rFonts w:ascii="Times New Roman" w:hAnsi="Times New Roman"/>
          <w:sz w:val="20"/>
        </w:rPr>
        <w:br/>
        <w:t>• Developed and implemented Marketing Mix Modeling (MMM) and Multi-Touch Attribution (MTA) frameworks to evaluate cross-channel marketing efficacy and optimize digital spend.</w:t>
        <w:br/>
      </w:r>
    </w:p>
    <w:p>
      <w:r>
        <w:rPr>
          <w:rFonts w:ascii="Times New Roman" w:hAnsi="Times New Roman"/>
          <w:sz w:val="20"/>
        </w:rPr>
        <w:br/>
        <w:t>• Applied causal inference and counterfactual analysis to evaluate the incremental impact of marketing initiatives, isolating performance lift from external variables.</w:t>
        <w:br/>
      </w:r>
    </w:p>
    <w:p>
      <w:r>
        <w:rPr>
          <w:rFonts w:ascii="Times New Roman" w:hAnsi="Times New Roman"/>
          <w:sz w:val="20"/>
        </w:rPr>
        <w:br/>
        <w:t>• Engineered scalable data infrastructure in BigQuery to ingest and correlate first- and third-party data, facilitating granular user segmentation and advanced cohort exploration.</w:t>
        <w:br/>
      </w:r>
    </w:p>
    <w:p>
      <w:r>
        <w:rPr>
          <w:rFonts w:ascii="Times New Roman" w:hAnsi="Times New Roman"/>
          <w:sz w:val="20"/>
        </w:rPr>
        <w:br/>
        <w:t>• Led root cause analysis on customer churn and conversion friction points, synthesizing findings into data-driven strategic recommendations for senior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