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Refactored high-traffic data pipelines at Haven Technologies to resolve latency bottlenecks, ensuring 99.9% uptime and data synchronization accuracy during critical ETL operations.</w:t>
        <w:br/>
      </w:r>
    </w:p>
    <w:p>
      <w:r>
        <w:rPr>
          <w:rFonts w:ascii="Times New Roman" w:hAnsi="Times New Roman"/>
          <w:sz w:val="20"/>
        </w:rPr>
        <w:br/>
        <w:t>• Engineered internal data interfaces and automated workflows to bridge structured datasets with LLM APIs, streamlining compliance-heavy reporting tasks for cross-functional stakeholders.</w:t>
        <w:br/>
      </w:r>
    </w:p>
    <w:p>
      <w:r>
        <w:rPr>
          <w:rFonts w:ascii="Times New Roman" w:hAnsi="Times New Roman"/>
          <w:sz w:val="20"/>
        </w:rPr>
        <w:br/>
        <w:t>• Integrated Retrieval-Augmented Generation (RAG) concepts by developing Python-based connectors that allow agents to query structured enterprise knowledge bases, enhancing the quality of AI-driven responses.</w:t>
        <w:br/>
      </w:r>
    </w:p>
    <w:p>
      <w:r>
        <w:rPr>
          <w:rFonts w:ascii="Times New Roman" w:hAnsi="Times New Roman"/>
          <w:sz w:val="20"/>
        </w:rPr>
        <w:br/>
        <w:t>• Applied data modeling expertise to audit and standardize regulatory datasets, mirroring compliance-focused data lifecycle management requirements for legal and internal business departments.</w:t>
        <w:br/>
      </w:r>
    </w:p>
    <w:p>
      <w:r>
        <w:rPr>
          <w:rFonts w:ascii="Times New Roman" w:hAnsi="Times New Roman"/>
          <w:sz w:val="20"/>
        </w:rPr>
        <w:br/>
        <w:t>• Optimized production data infrastructure using BigQuery to handle scaling volumes, applying advanced partitioning and clustering techniques to improve performance for high-traffic analytical consumption.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