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telemetry and instrumentation into product workflows to track engineer friction points, enabling the identification of system bottlenecks and data-driven process improvements.</w:t>
        <w:br/>
      </w:r>
    </w:p>
    <w:p>
      <w:r>
        <w:rPr>
          <w:rFonts w:ascii="Times New Roman" w:hAnsi="Times New Roman"/>
          <w:sz w:val="20"/>
        </w:rPr>
        <w:br/>
        <w:t>• Performed rigorous statistical analysis and feature engineering on 2M+ row datasets to identify key indicators of risk, translating complex patterns into actionable predictive models.</w:t>
        <w:br/>
      </w:r>
    </w:p>
    <w:p>
      <w:r>
        <w:rPr>
          <w:rFonts w:ascii="Times New Roman" w:hAnsi="Times New Roman"/>
          <w:sz w:val="20"/>
        </w:rPr>
        <w:br/>
        <w:t>• Designed and implemented A/B testing frameworks to evaluate the impact of process interventions, measuring the efficacy of new developer tools on team productivity.</w:t>
        <w:br/>
      </w:r>
    </w:p>
    <w:p>
      <w:r>
        <w:rPr>
          <w:rFonts w:ascii="Times New Roman" w:hAnsi="Times New Roman"/>
          <w:sz w:val="20"/>
        </w:rPr>
        <w:br/>
        <w:t>• Leveraged data storytelling techniques to translate complex telemetry insights into intuitive executive presentations, directly informing long-term product strategy and engineering education priorities.</w:t>
        <w:br/>
      </w:r>
    </w:p>
    <w:p>
      <w:r>
        <w:rPr>
          <w:rFonts w:ascii="Times New Roman" w:hAnsi="Times New Roman"/>
          <w:sz w:val="20"/>
        </w:rPr>
        <w:br/>
        <w:t>• Applied advanced statistical methods to validate working hypotheses regarding user behavior, ensuring high-confidence decision-making for in-product engineering experiences.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