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Conducted rigorous statistical analysis on lending portfolio datasets, performing A/B testing on borrower risk profiles to validate segment performance and inform lending strategy.</w:t>
        <w:br/>
      </w:r>
    </w:p>
    <w:p>
      <w:r>
        <w:rPr>
          <w:rFonts w:ascii="Times New Roman" w:hAnsi="Times New Roman"/>
          <w:sz w:val="20"/>
        </w:rPr>
        <w:br/>
        <w:t>• Engineered robust data pipelines and performed large-scale data engineering tasks to integrate disparate SQL and NoSQL sources, ensuring high data integrity for executive reporting.</w:t>
        <w:br/>
      </w:r>
    </w:p>
    <w:p>
      <w:r>
        <w:rPr>
          <w:rFonts w:ascii="Times New Roman" w:hAnsi="Times New Roman"/>
          <w:sz w:val="20"/>
        </w:rPr>
        <w:br/>
        <w:t>• Applied advanced statistical analysis techniques to time-series forecasting, utilizing hypothesis testing to measure the significance of marketing campaigns on customer acquisition.</w:t>
        <w:br/>
      </w:r>
    </w:p>
    <w:p>
      <w:r>
        <w:rPr>
          <w:rFonts w:ascii="Times New Roman" w:hAnsi="Times New Roman"/>
          <w:sz w:val="20"/>
        </w:rPr>
        <w:br/>
        <w:t>• Partnered with senior leadership to present complex data-driven insights, leveraging data storytelling to influence strategic direction and cross-functional project prioritization.</w:t>
        <w:br/>
      </w:r>
    </w:p>
    <w:p>
      <w:r>
        <w:rPr>
          <w:rFonts w:ascii="Times New Roman" w:hAnsi="Times New Roman"/>
          <w:sz w:val="20"/>
        </w:rPr>
        <w:br/>
        <w:t>• Mentored team members on data engineering best practices and statistical analysis workflows, increasing departmental proficiency in utilizing SQL and Python for independent insight generation.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