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production-grade ETL pipelines using Airflow (transferable to Dagster) to process high-volume datasets, ensuring data integrity and scalability for analytical forecasting.</w:t>
        <w:br/>
      </w:r>
    </w:p>
    <w:p>
      <w:r>
        <w:rPr>
          <w:rFonts w:ascii="Times New Roman" w:hAnsi="Times New Roman"/>
          <w:sz w:val="20"/>
        </w:rPr>
        <w:br/>
        <w:t>• Built and maintained backend services using Python/FastAPI to expose data insights, effectively bridging the gap between raw database schemas and production-ready application features.</w:t>
        <w:br/>
      </w:r>
    </w:p>
    <w:p>
      <w:r>
        <w:rPr>
          <w:rFonts w:ascii="Times New Roman" w:hAnsi="Times New Roman"/>
          <w:sz w:val="20"/>
        </w:rPr>
        <w:br/>
        <w:t>• Engineered scalable data ingestion workflows that handle large-scale concurrent operations, utilizing distributed computing concepts to optimize data throughput and processing time.</w:t>
        <w:br/>
      </w:r>
    </w:p>
    <w:p>
      <w:r>
        <w:rPr>
          <w:rFonts w:ascii="Times New Roman" w:hAnsi="Times New Roman"/>
          <w:sz w:val="20"/>
        </w:rPr>
        <w:br/>
        <w:t>• Integrated LLM-based agentic tooling and API-driven automation into data workflows to accelerate development cycles and improve the efficiency of data extraction and validation tasks.</w:t>
        <w:br/>
      </w:r>
    </w:p>
    <w:p>
      <w:r>
        <w:rPr>
          <w:rFonts w:ascii="Times New Roman" w:hAnsi="Times New Roman"/>
          <w:sz w:val="20"/>
        </w:rPr>
        <w:br/>
        <w:t>• Modeled complex datasets and optimized ML-ready pipelines, focusing on performance tuning to ensure downstream forecasting systems operate with high accuracy and low latency.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