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Expertly facilitated complex hybrid meetings by managing advanced audio-visual (AV) and video conferencing setups, collaborating with internal IT/AV teams to ensure seamless execution.</w:t>
        <w:br/>
      </w:r>
    </w:p>
    <w:p>
      <w:r>
        <w:rPr>
          <w:rFonts w:ascii="Times New Roman" w:hAnsi="Times New Roman"/>
          <w:sz w:val="20"/>
        </w:rPr>
        <w:br/>
        <w:t>• Collaborated with the sourcing and finance departments to initiate purchase orders (PO), manage vendor payments, and ensure timely expense reconciliation in accordance with corporate policies.</w:t>
        <w:br/>
      </w:r>
    </w:p>
    <w:p>
      <w:r>
        <w:rPr>
          <w:rFonts w:ascii="Times New Roman" w:hAnsi="Times New Roman"/>
          <w:sz w:val="20"/>
        </w:rPr>
        <w:br/>
        <w:t>• Demonstrated flexibility by managing executive calendars across multiple time zones and providing proactive support during non-traditional business hours to meet critical project deadlines.</w:t>
        <w:br/>
      </w:r>
    </w:p>
    <w:p>
      <w:r>
        <w:rPr>
          <w:rFonts w:ascii="Times New Roman" w:hAnsi="Times New Roman"/>
          <w:sz w:val="20"/>
        </w:rPr>
        <w:br/>
        <w:t>• Successfully supported off-site strategic planning sessions and conferences, maintaining readiness for up to 10% domestic travel to coordinate logistics and on-site executive needs.</w:t>
        <w:br/>
      </w:r>
    </w:p>
    <w:p>
      <w:r>
        <w:rPr>
          <w:rFonts w:ascii="Times New Roman" w:hAnsi="Times New Roman"/>
          <w:sz w:val="20"/>
        </w:rPr>
        <w:br/>
        <w:t>• Leveraged a growth mindset to lead special administrative projects, utilizing formal project management principles to improve cross-departmental workflow efficiencies.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