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(CTEs, window functions) to clean insurance data and reconcile loan servicing workflows, ensuring audit-ready data accuracy for internal stakeholders.</w:t>
        <w:br/>
      </w:r>
    </w:p>
    <w:p>
      <w:r>
        <w:rPr>
          <w:rFonts w:ascii="Times New Roman" w:hAnsi="Times New Roman"/>
          <w:sz w:val="20"/>
        </w:rPr>
        <w:br/>
        <w:t>• Designed a comprehensive lending data model including borrower and delinquency dimensions, directly supporting debt facility monitoring and investor reporting requirements.</w:t>
        <w:br/>
      </w:r>
    </w:p>
    <w:p>
      <w:r>
        <w:rPr>
          <w:rFonts w:ascii="Times New Roman" w:hAnsi="Times New Roman"/>
          <w:sz w:val="20"/>
        </w:rPr>
        <w:br/>
        <w:t>• Applied foundational accounting principles to analyze portfolio cash flows and loan performance, providing insights that bridge the gap between technical data and GAAP-aligned financial reporting.</w:t>
        <w:br/>
      </w:r>
    </w:p>
    <w:p>
      <w:r>
        <w:rPr>
          <w:rFonts w:ascii="Times New Roman" w:hAnsi="Times New Roman"/>
          <w:sz w:val="20"/>
        </w:rPr>
        <w:br/>
        <w:t>• Partnered with cross-functional teams to document and automate collections and servicing workflows, reducing manual processing time by leveraging Python-based ETL pipelines.</w:t>
        <w:br/>
      </w:r>
    </w:p>
    <w:p>
      <w:r>
        <w:rPr>
          <w:rFonts w:ascii="Times New Roman" w:hAnsi="Times New Roman"/>
          <w:sz w:val="20"/>
        </w:rPr>
        <w:br/>
        <w:t>• Collaborated on financial data projects to prepare materials for investor data rooms, ensuring all documentation was compliant with rigorous diligence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