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Google BigQuery and Snowflake environments to perform advanced product performance analysis, identifying top-performing SKUs and optimizing inventory replenishment cycles.</w:t>
        <w:br/>
      </w:r>
    </w:p>
    <w:p>
      <w:r>
        <w:rPr>
          <w:rFonts w:ascii="Times New Roman" w:hAnsi="Times New Roman"/>
          <w:sz w:val="20"/>
        </w:rPr>
        <w:br/>
        <w:t>• Conducted full-funnel A/B and multivariate testing on marketing assets to optimize conversion rates and return on ad spend (ROAS), consistently driving measurable improvements in campaign effectiveness.</w:t>
        <w:br/>
      </w:r>
    </w:p>
    <w:p>
      <w:r>
        <w:rPr>
          <w:rFonts w:ascii="Times New Roman" w:hAnsi="Times New Roman"/>
          <w:sz w:val="20"/>
        </w:rPr>
        <w:br/>
        <w:t>• Utilized SEO analytics to monitor site performance, implementing keyword tagging and tracking strategies that improved visibility and organic traffic to digital platforms.</w:t>
        <w:br/>
      </w:r>
    </w:p>
    <w:p>
      <w:r>
        <w:rPr>
          <w:rFonts w:ascii="Times New Roman" w:hAnsi="Times New Roman"/>
          <w:sz w:val="20"/>
        </w:rPr>
        <w:br/>
        <w:t>• Optimized sales performance by conducting deep-dive cohort analysis and product performance reviews, directly informing tactical commercial activations and pricing strategies.</w:t>
        <w:br/>
      </w:r>
    </w:p>
    <w:p>
      <w:r>
        <w:rPr>
          <w:rFonts w:ascii="Times New Roman" w:hAnsi="Times New Roman"/>
          <w:sz w:val="20"/>
        </w:rPr>
        <w:br/>
        <w:t>• Engineered robust data pipelines in SQL and Python to extract, transform, and load (ETL) large-scale retail datasets, supporting real-time ROI measurement and executive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