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complex SQL queries, including those structured for Teradata-style enterprise environments, to automate weekly and monthly reporting dashboards, improving data availability for cross-functional partners.</w:t>
        <w:br/>
      </w:r>
    </w:p>
    <w:p>
      <w:r>
        <w:rPr>
          <w:rFonts w:ascii="Times New Roman" w:hAnsi="Times New Roman"/>
          <w:sz w:val="20"/>
        </w:rPr>
        <w:br/>
        <w:t>• Performed advanced statistical analysis using Python (and R), drawing on foundational SAS methodologies to provide actionable data-driven insights to Product and Technology stakeholders.</w:t>
        <w:br/>
      </w:r>
    </w:p>
    <w:p>
      <w:r>
        <w:rPr>
          <w:rFonts w:ascii="Times New Roman" w:hAnsi="Times New Roman"/>
          <w:sz w:val="20"/>
        </w:rPr>
        <w:br/>
        <w:t>• Presented complex business analyses and technical recommendations to senior Executives, effectively translating data models into clear, high-level business strategies.</w:t>
        <w:br/>
      </w:r>
    </w:p>
    <w:p>
      <w:r>
        <w:rPr>
          <w:rFonts w:ascii="Times New Roman" w:hAnsi="Times New Roman"/>
          <w:sz w:val="20"/>
        </w:rPr>
        <w:br/>
        <w:t>• Collaborated closely with Product and Technology partners to define and execute KPIs, driving process controls and strategic improvements that support long-term business performance.</w:t>
        <w:br/>
      </w:r>
    </w:p>
    <w:p>
      <w:r>
        <w:rPr>
          <w:rFonts w:ascii="Times New Roman" w:hAnsi="Times New Roman"/>
          <w:sz w:val="20"/>
        </w:rPr>
        <w:br/>
        <w:t>• Managed full-lifecycle data projects, collaborating with Product teams to align analytics strategies with enterprise business goals and quantifiable growth objectives.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