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production-grade data pipelines using Python and Airflow, implementing TDD and BDD methodologies with PyTest to ensure high code quality and reliability.</w:t>
        <w:br/>
      </w:r>
    </w:p>
    <w:p>
      <w:r>
        <w:rPr>
          <w:rFonts w:ascii="Times New Roman" w:hAnsi="Times New Roman"/>
          <w:sz w:val="20"/>
        </w:rPr>
        <w:br/>
        <w:t>• Managed and optimized Postgres database performance by applying indexing and partitioning strategies, significantly reducing query latency for large-scale analytical datasets.</w:t>
        <w:br/>
      </w:r>
    </w:p>
    <w:p>
      <w:r>
        <w:rPr>
          <w:rFonts w:ascii="Times New Roman" w:hAnsi="Times New Roman"/>
          <w:sz w:val="20"/>
        </w:rPr>
        <w:br/>
        <w:t>• Maintained and improved CI/CD workflows using GitHub Actions and Jenkins, automating the deployment of data models and ensuring seamless integration across development environments.</w:t>
        <w:br/>
      </w:r>
    </w:p>
    <w:p>
      <w:r>
        <w:rPr>
          <w:rFonts w:ascii="Times New Roman" w:hAnsi="Times New Roman"/>
          <w:sz w:val="20"/>
        </w:rPr>
        <w:br/>
        <w:t>• Implemented automated data backup and recovery protocols, utilizing Unix shell scripting to manage data snapshots and ensure 99.9% availability for business-critical systems.</w:t>
        <w:br/>
      </w:r>
    </w:p>
    <w:p>
      <w:r>
        <w:rPr>
          <w:rFonts w:ascii="Times New Roman" w:hAnsi="Times New Roman"/>
          <w:sz w:val="20"/>
        </w:rPr>
        <w:br/>
        <w:t>• Collaborated in Agile environments, utilizing JIRA to track task progression, manage sprint planning, and align technical deliverables with enterprise roadmaps and governance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