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 to ensure cross-functional alignment, focusing on data accuracy, completeness, and timeliness metrics to serve as a 'single source of truth'.</w:t>
        <w:br/>
      </w:r>
    </w:p>
    <w:p>
      <w:r>
        <w:rPr>
          <w:rFonts w:ascii="Times New Roman" w:hAnsi="Times New Roman"/>
          <w:sz w:val="20"/>
        </w:rPr>
        <w:br/>
        <w:t>• Mapped end-to-end data flows from POS/CRM systems, identifying control gaps and risks while documenting data lineage to improve reporting transparency and audit readiness.</w:t>
        <w:br/>
      </w:r>
    </w:p>
    <w:p>
      <w:r>
        <w:rPr>
          <w:rFonts w:ascii="Times New Roman" w:hAnsi="Times New Roman"/>
          <w:sz w:val="20"/>
        </w:rPr>
        <w:br/>
        <w:t>• Developed an implementation roadmap for data quality remediation, translating complex technical findings into scalable governance models for operational stakeholders.</w:t>
        <w:br/>
      </w:r>
    </w:p>
    <w:p>
      <w:r>
        <w:rPr>
          <w:rFonts w:ascii="Times New Roman" w:hAnsi="Times New Roman"/>
          <w:sz w:val="20"/>
        </w:rPr>
        <w:br/>
        <w:t>• Leveraged experience in high-volume transaction environments to assess data quality and reconciliation processes, ensuring integrity across complex retail and operational datasets.</w:t>
        <w:br/>
      </w:r>
    </w:p>
    <w:p>
      <w:r>
        <w:rPr>
          <w:rFonts w:ascii="Times New Roman" w:hAnsi="Times New Roman"/>
          <w:sz w:val="20"/>
        </w:rPr>
        <w:br/>
        <w:t>• Designed and executed data validation protocols (using Great Expectations) to monitor data quality metrics, ensuring high standards of completeness and timeliness for critical business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