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automated scorecards and dashboards using Power BI and Looker Studio, translating raw content and audience data into actionable insights for stakeholder review.</w:t>
        <w:br/>
      </w:r>
    </w:p>
    <w:p>
      <w:r>
        <w:rPr>
          <w:rFonts w:ascii="Times New Roman" w:hAnsi="Times New Roman"/>
          <w:sz w:val="20"/>
        </w:rPr>
        <w:br/>
        <w:t>• Partnered with business development teams to perform rigorous deal evaluation and forecasting, utilizing SQL and Python to model potential partnership outcomes and revenue trajectories.</w:t>
        <w:br/>
      </w:r>
    </w:p>
    <w:p>
      <w:r>
        <w:rPr>
          <w:rFonts w:ascii="Times New Roman" w:hAnsi="Times New Roman"/>
          <w:sz w:val="20"/>
        </w:rPr>
        <w:br/>
        <w:t>• Integrated diverse data sources via APIs to monitor partnership health, ensuring high data quality and governance standards for enterprise-level reporting.</w:t>
        <w:br/>
      </w:r>
    </w:p>
    <w:p>
      <w:r>
        <w:rPr>
          <w:rFonts w:ascii="Times New Roman" w:hAnsi="Times New Roman"/>
          <w:sz w:val="20"/>
        </w:rPr>
        <w:br/>
        <w:t>• Applied advanced analytical methods to evaluate content-level performance and audience engagement trends, informing strategic prioritization for cross-departmental stakeholders.</w:t>
        <w:br/>
      </w:r>
    </w:p>
    <w:p>
      <w:r>
        <w:rPr>
          <w:rFonts w:ascii="Times New Roman" w:hAnsi="Times New Roman"/>
          <w:sz w:val="20"/>
        </w:rPr>
        <w:br/>
        <w:t>• Leveraged Salesforce CRM and Python-based ETL processes to clean and harmonize customer and partner data, driving data-driven improvements in business development and acquisition strategies.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