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managed automated reporting pipelines for digital advertising data, including integration with Google Ad Manager and third-party DSPs like DV360 to ensure 100% data accuracy.</w:t>
        <w:br/>
      </w:r>
    </w:p>
    <w:p>
      <w:r>
        <w:rPr>
          <w:rFonts w:ascii="Times New Roman" w:hAnsi="Times New Roman"/>
          <w:sz w:val="20"/>
        </w:rPr>
        <w:br/>
        <w:t>• Streamlined ad trafficking workflows by implementing standardized documentation and audit control processes, ensuring compliance with internal data integrity and role-based access requirements.</w:t>
        <w:br/>
      </w:r>
    </w:p>
    <w:p>
      <w:r>
        <w:rPr>
          <w:rFonts w:ascii="Times New Roman" w:hAnsi="Times New Roman"/>
          <w:sz w:val="20"/>
        </w:rPr>
        <w:br/>
        <w:t>• Troubleshot ad tag deployment and integration issues using Google Tag Manager, resolving reporting discrepancies and ensuring consistent data capture across digital platforms.</w:t>
        <w:br/>
      </w:r>
    </w:p>
    <w:p>
      <w:r>
        <w:rPr>
          <w:rFonts w:ascii="Times New Roman" w:hAnsi="Times New Roman"/>
          <w:sz w:val="20"/>
        </w:rPr>
        <w:br/>
        <w:t>• Collaborated with AdOps and sales teams to standardize order management system (OMS) data, reducing manual reconciliation time and improving reporting reliability for campaign performance.</w:t>
        <w:br/>
      </w:r>
    </w:p>
    <w:p>
      <w:r>
        <w:rPr>
          <w:rFonts w:ascii="Times New Roman" w:hAnsi="Times New Roman"/>
          <w:sz w:val="20"/>
        </w:rPr>
        <w:br/>
        <w:t>• Maintained and audited user roles and permissions across enterprise reporting platforms, ensuring strict adherence to data governance and segregation of duties policies.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