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organizational performance by drafting and reviewing operational policies, ensuring data-driven compliance and alignment with non-profit service delivery standards.</w:t>
        <w:br/>
      </w:r>
    </w:p>
    <w:p>
      <w:r>
        <w:rPr>
          <w:rFonts w:ascii="Times New Roman" w:hAnsi="Times New Roman"/>
          <w:sz w:val="20"/>
        </w:rPr>
        <w:br/>
        <w:t>• Managed an internal tracking system for service metrics and incident database records, utilizing SQL and Excel to maintain 100% data accuracy and support program evaluation.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translate complex performance metrics into actionable reports, mirroring the rigor required for program evaluation and quality assurance initiatives.</w:t>
        <w:br/>
      </w:r>
    </w:p>
    <w:p>
      <w:r>
        <w:rPr>
          <w:rFonts w:ascii="Times New Roman" w:hAnsi="Times New Roman"/>
          <w:sz w:val="20"/>
        </w:rPr>
        <w:br/>
        <w:t>• Leveraged experience in data extraction and predictive modeling to identify service trends, directly contributing to the continuous improvement of program quality and efficacy.</w:t>
        <w:br/>
      </w:r>
    </w:p>
    <w:p>
      <w:r>
        <w:rPr>
          <w:rFonts w:ascii="Times New Roman" w:hAnsi="Times New Roman"/>
          <w:sz w:val="20"/>
        </w:rPr>
        <w:br/>
        <w:t>• Fluent in English and Spanish, with the ability to communicate technical data insights to diverse stakeholder groups, including immigrant families and program leadership.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