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data from diverse external APIs, managing authentication flows (OAuth), webhook listeners, and implementing robust retry logic to handle rate limiting and pagination during ingestion.</w:t>
        <w:br/>
      </w:r>
    </w:p>
    <w:p>
      <w:r>
        <w:rPr>
          <w:rFonts w:ascii="Times New Roman" w:hAnsi="Times New Roman"/>
          <w:sz w:val="20"/>
        </w:rPr>
        <w:br/>
        <w:t>• Built and maintained resilient production data pipelines, managing on-call rotations to resolve incidents and ensure high availability of critical data streams.</w:t>
        <w:br/>
      </w:r>
    </w:p>
    <w:p>
      <w:r>
        <w:rPr>
          <w:rFonts w:ascii="Times New Roman" w:hAnsi="Times New Roman"/>
          <w:sz w:val="20"/>
        </w:rPr>
        <w:br/>
        <w:t>• Engineered backend services and caching layers using Redis to optimize query performance and reduce latency in high-velocity data retrieval workflows.</w:t>
        <w:br/>
      </w:r>
    </w:p>
    <w:p>
      <w:r>
        <w:rPr>
          <w:rFonts w:ascii="Times New Roman" w:hAnsi="Times New Roman"/>
          <w:sz w:val="20"/>
        </w:rPr>
        <w:br/>
        <w:t>• Deployed scalable ingestion architectures that effectively manage schema evolution, ensuring consistent data quality across complex enterprise integrations.</w:t>
        <w:br/>
      </w:r>
    </w:p>
    <w:p>
      <w:r>
        <w:rPr>
          <w:rFonts w:ascii="Times New Roman" w:hAnsi="Times New Roman"/>
          <w:sz w:val="20"/>
        </w:rPr>
        <w:br/>
        <w:t>• Improved observability by designing comprehensive logging and alerting systems to monitor system health and proactively address pipeline failures in production.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