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CRM data integrity and system governance, mirroring the rigor required for Salesforce CPQ environments by implementing automated validation workflows to ensure quote accuracy and deal desk compliance.</w:t>
        <w:br/>
      </w:r>
    </w:p>
    <w:p>
      <w:r>
        <w:rPr>
          <w:rFonts w:ascii="Times New Roman" w:hAnsi="Times New Roman"/>
          <w:sz w:val="20"/>
        </w:rPr>
        <w:br/>
        <w:t>• Streamlined sales operations by mapping complex pricing logic and commission structures into automated reporting models, reducing manual entry and providing clear visibility into incentive payouts.</w:t>
        <w:br/>
      </w:r>
    </w:p>
    <w:p>
      <w:r>
        <w:rPr>
          <w:rFonts w:ascii="Times New Roman" w:hAnsi="Times New Roman"/>
          <w:sz w:val="20"/>
        </w:rPr>
        <w:br/>
        <w:t>• Acted as the primary operational liaison between technical teams and GTM stakeholders, translating complex field requirements into functional system improvements across Salesforce and CRM platforms.</w:t>
        <w:br/>
      </w:r>
    </w:p>
    <w:p>
      <w:r>
        <w:rPr>
          <w:rFonts w:ascii="Times New Roman" w:hAnsi="Times New Roman"/>
          <w:sz w:val="20"/>
        </w:rPr>
        <w:br/>
        <w:t>• Leveraged AI-driven tools (e.g., Python/LLMs) to prototype automated reporting solutions and audit data anomalies, effectively acting as a QA layer for GTM system outputs.</w:t>
        <w:br/>
      </w:r>
    </w:p>
    <w:p>
      <w:r>
        <w:rPr>
          <w:rFonts w:ascii="Times New Roman" w:hAnsi="Times New Roman"/>
          <w:sz w:val="20"/>
        </w:rPr>
        <w:br/>
        <w:t>• Partnered with leadership to design and maintain recurring GTM analytics packs, standardizing the 'single source of truth' for reporting to support quarterly business reviews and stakeholder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