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Prepared complex reports for senior management using advanced Microsoft Word and Excel features, including data table creation and automated mail merges to streamline executive correspondence.</w:t>
        <w:br/>
      </w:r>
    </w:p>
    <w:p>
      <w:r>
        <w:rPr>
          <w:rFonts w:ascii="Times New Roman" w:hAnsi="Times New Roman"/>
          <w:sz w:val="20"/>
        </w:rPr>
        <w:br/>
        <w:t>• Provided high-level administrative support within a fast-paced environment, acting as a primary point of contact for multiple stakeholders and demonstrating tact and sound judgment in managing confidential executive communications.</w:t>
        <w:br/>
      </w:r>
    </w:p>
    <w:p>
      <w:r>
        <w:rPr>
          <w:rFonts w:ascii="Times New Roman" w:hAnsi="Times New Roman"/>
          <w:sz w:val="20"/>
        </w:rPr>
        <w:br/>
        <w:t>• Managed concurrent scheduling and administrative workflows for a team of senior executives, effectively balancing competing priorities across a matrixed organizational structure.</w:t>
        <w:br/>
      </w:r>
    </w:p>
    <w:p>
      <w:r>
        <w:rPr>
          <w:rFonts w:ascii="Times New Roman" w:hAnsi="Times New Roman"/>
          <w:sz w:val="20"/>
        </w:rPr>
        <w:br/>
        <w:t>• Maintained professional telephone etiquette and visitor reception standards, serving as the first point of contact for internal and external partners in high-pressure settings.</w:t>
        <w:br/>
      </w:r>
    </w:p>
    <w:p>
      <w:r>
        <w:rPr>
          <w:rFonts w:ascii="Times New Roman" w:hAnsi="Times New Roman"/>
          <w:sz w:val="20"/>
        </w:rPr>
        <w:br/>
        <w:t>• Adapted administrative workflows to align with changing department goals, ensuring efficient support for multiple senior-level managers in a high-volume professional environment.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