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Large Language Models (LLMs) and advanced prompt engineering techniques into existing Python-based workflows to streamline data extraction and classification tasks.</w:t>
        <w:br/>
      </w:r>
    </w:p>
    <w:p>
      <w:r>
        <w:rPr>
          <w:rFonts w:ascii="Times New Roman" w:hAnsi="Times New Roman"/>
          <w:sz w:val="20"/>
        </w:rPr>
        <w:br/>
        <w:t>• Applied Natural Language Processing (NLP) techniques and text analytics to unstructured datasets to automate issue tagging and summarize key insights for executive stakeholders.</w:t>
        <w:br/>
      </w:r>
    </w:p>
    <w:p>
      <w:r>
        <w:rPr>
          <w:rFonts w:ascii="Times New Roman" w:hAnsi="Times New Roman"/>
          <w:sz w:val="20"/>
        </w:rPr>
        <w:br/>
        <w:t>• Designed and implemented high-volume data deduplication and normalization pipelines, ensuring data integrity across 250K+ record document populations.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deliver data-driven insights in high-stakes environments, ensuring all outputs were accurate, explainable, and defensible for business-critical decision-making.</w:t>
        <w:br/>
      </w:r>
    </w:p>
    <w:p>
      <w:r>
        <w:rPr>
          <w:rFonts w:ascii="Times New Roman" w:hAnsi="Times New Roman"/>
          <w:sz w:val="20"/>
        </w:rPr>
        <w:br/>
        <w:t>• Leveraged AI-driven tools to perform systematic document review, successfully reducing large, complex datasets into high-value subsets for expedited forensic and analytical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