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multi-touch attribution models and Adobe Analytics data into existing marketing workflows to provide a more holistic view of customer journeys and campaign performance.</w:t>
        <w:br/>
      </w:r>
    </w:p>
    <w:p>
      <w:r>
        <w:rPr>
          <w:rFonts w:ascii="Times New Roman" w:hAnsi="Times New Roman"/>
          <w:sz w:val="20"/>
        </w:rPr>
        <w:br/>
        <w:t>• Utilized platforms like Google Analytics and industry-standard ad-verification tools to monitor campaign health, ensuring accurate measurement across mobile, social, and display media.</w:t>
        <w:br/>
      </w:r>
    </w:p>
    <w:p>
      <w:r>
        <w:rPr>
          <w:rFonts w:ascii="Times New Roman" w:hAnsi="Times New Roman"/>
          <w:sz w:val="20"/>
        </w:rPr>
        <w:br/>
        <w:t>• Synthesized syndicated research data (e.g., comScore, Nielsen trends) with internal CRM data to provide competitive market context for strategic media planning.</w:t>
        <w:br/>
      </w:r>
    </w:p>
    <w:p>
      <w:r>
        <w:rPr>
          <w:rFonts w:ascii="Times New Roman" w:hAnsi="Times New Roman"/>
          <w:sz w:val="20"/>
        </w:rPr>
        <w:br/>
        <w:t>• Developed executive-level PowerPoint presentations and reports to communicate complex data-driven insights and multi-touch attribution results to non-technical stakeholders.</w:t>
        <w:br/>
      </w:r>
    </w:p>
    <w:p>
      <w:r>
        <w:rPr>
          <w:rFonts w:ascii="Times New Roman" w:hAnsi="Times New Roman"/>
          <w:sz w:val="20"/>
        </w:rPr>
        <w:br/>
        <w:t>• Optimized data workflows for digital media strategy, ensuring seamless integration of ad-serving metrics to improve the accuracy of forecasted campaign outcomes.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