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data reconciliation workflows to support high-volume inquiries and claims-related datasets, ensuring 99% data integrity through automated validation checks.</w:t>
        <w:br/>
      </w:r>
    </w:p>
    <w:p>
      <w:r>
        <w:rPr>
          <w:rFonts w:ascii="Times New Roman" w:hAnsi="Times New Roman"/>
          <w:sz w:val="20"/>
        </w:rPr>
        <w:br/>
        <w:t>• Proactively anticipated and mitigated data quality issues by establishing automated monitoring pipelines, reducing manual data auditing time by 30%.</w:t>
        <w:br/>
      </w:r>
    </w:p>
    <w:p>
      <w:r>
        <w:rPr>
          <w:rFonts w:ascii="Times New Roman" w:hAnsi="Times New Roman"/>
          <w:sz w:val="20"/>
        </w:rPr>
        <w:br/>
        <w:t>• Applied rigorous data classification and standardization protocols while managing complex datasets, effectively bridging the gap between technical requirements and stakeholder needs.</w:t>
        <w:br/>
      </w:r>
    </w:p>
    <w:p>
      <w:r>
        <w:rPr>
          <w:rFonts w:ascii="Times New Roman" w:hAnsi="Times New Roman"/>
          <w:sz w:val="20"/>
        </w:rPr>
        <w:br/>
        <w:t>• Leveraged experience in database management and ETL processes to audit large-scale data environments, ensuring compliance with established enterprise system standards.</w:t>
        <w:br/>
      </w:r>
    </w:p>
    <w:p>
      <w:r>
        <w:rPr>
          <w:rFonts w:ascii="Times New Roman" w:hAnsi="Times New Roman"/>
          <w:sz w:val="20"/>
        </w:rPr>
        <w:br/>
        <w:t>• Collaborated with internal teams to resolve inconsistencies in cross-functional reporting, ensuring that high-volume data inputs were accurate, clean, and audit-ready.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