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managed curated datasets within a cloud-based analytics environment, aligning with enterprise data standards and enabling efficient downstream analytics.</w:t>
        <w:br/>
      </w:r>
    </w:p>
    <w:p>
      <w:r>
        <w:rPr>
          <w:rFonts w:ascii="Times New Roman" w:hAnsi="Times New Roman"/>
          <w:sz w:val="20"/>
        </w:rPr>
        <w:br/>
        <w:t>• Developed and implemented SQL-based data transformations, queries, and database objects that support enterprise analytics and reporting, including complex joins, aggregations, and window functions, within a relational database environment.</w:t>
        <w:br/>
      </w:r>
    </w:p>
    <w:p>
      <w:r>
        <w:rPr>
          <w:rFonts w:ascii="Times New Roman" w:hAnsi="Times New Roman"/>
          <w:sz w:val="20"/>
        </w:rPr>
        <w:br/>
        <w:t>• Investigated and resolved data discrepancies, lineage issues, and quality concerns across diverse data assets, ensuring data integrity and compliance with data governance frameworks.</w:t>
        <w:br/>
      </w:r>
    </w:p>
    <w:p>
      <w:r>
        <w:rPr>
          <w:rFonts w:ascii="Times New Roman" w:hAnsi="Times New Roman"/>
          <w:sz w:val="20"/>
        </w:rPr>
        <w:br/>
        <w:t>• Collaborated with business stakeholders to translate requirements into well-defined data structures and logic, serving as a subject matter expert on data access and usage.</w:t>
        <w:br/>
      </w:r>
    </w:p>
    <w:p>
      <w:r>
        <w:rPr>
          <w:rFonts w:ascii="Times New Roman" w:hAnsi="Times New Roman"/>
          <w:sz w:val="20"/>
        </w:rPr>
        <w:br/>
        <w:t>• Maintained clear documentation for datasets, transformations, and data definitions, supporting transparency, reuse, and compliance with data governance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