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various data sources into centralized reporting structures, ensuring high data integrity and alignment with internal data governance policies.</w:t>
        <w:br/>
      </w:r>
    </w:p>
    <w:p>
      <w:r>
        <w:rPr>
          <w:rFonts w:ascii="Times New Roman" w:hAnsi="Times New Roman"/>
          <w:sz w:val="20"/>
        </w:rPr>
        <w:br/>
        <w:t>• Managed technical support requests via ticketing systems like JIRA, effectively prioritizing tasks to ensure timely response and resolution, similar to ServiceNow workflows.</w:t>
        <w:br/>
      </w:r>
    </w:p>
    <w:p>
      <w:r>
        <w:rPr>
          <w:rFonts w:ascii="Times New Roman" w:hAnsi="Times New Roman"/>
          <w:sz w:val="20"/>
        </w:rPr>
        <w:br/>
        <w:t>• Conducted rigorous data audits and validation checks on complex datasets, ensuring accuracy and compliance with internal data privacy regulations.</w:t>
        <w:br/>
      </w:r>
    </w:p>
    <w:p>
      <w:r>
        <w:rPr>
          <w:rFonts w:ascii="Times New Roman" w:hAnsi="Times New Roman"/>
          <w:sz w:val="20"/>
        </w:rPr>
        <w:br/>
        <w:t>• Collaborated with HR and operations teams to automate reporting workflows within existing HRIS and enterprise databases, mirroring the functionality of custom Workday reporting.</w:t>
        <w:br/>
      </w:r>
    </w:p>
    <w:p>
      <w:r>
        <w:rPr>
          <w:rFonts w:ascii="Times New Roman" w:hAnsi="Times New Roman"/>
          <w:sz w:val="20"/>
        </w:rPr>
        <w:br/>
        <w:t>• Maintained detailed process documentation for data pipeline workflows, ensuring consistent, audit-ready data delivery to business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