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Engineered predictive classification models for loan default risk using Scikit-Learn, performing feature engineering and model evaluation to ensure robust performance metrics.</w:t>
        <w:br/>
      </w:r>
    </w:p>
    <w:p>
      <w:r>
        <w:rPr>
          <w:rFonts w:ascii="Times New Roman" w:hAnsi="Times New Roman"/>
          <w:sz w:val="20"/>
        </w:rPr>
        <w:br/>
        <w:t>• Applied Natural Language Processing (NLP) techniques to categorize and analyze unstructured text data, improving information retrieval efficiency by 20% in internal project workflows.</w:t>
        <w:br/>
      </w:r>
    </w:p>
    <w:p>
      <w:r>
        <w:rPr>
          <w:rFonts w:ascii="Times New Roman" w:hAnsi="Times New Roman"/>
          <w:sz w:val="20"/>
        </w:rPr>
        <w:br/>
        <w:t>• Utilized Large Language Models (LLMs) and prompt engineering to automate the summarization of complex financial datasets, accelerating stakeholder decision-making cycles.</w:t>
        <w:br/>
      </w:r>
    </w:p>
    <w:p>
      <w:r>
        <w:rPr>
          <w:rFonts w:ascii="Times New Roman" w:hAnsi="Times New Roman"/>
          <w:sz w:val="20"/>
        </w:rPr>
        <w:br/>
        <w:t>• Partnered with cross-functional stakeholders to deliver client-facing analytical dashboards and actionable insights, ensuring alignment with high-stakes business objectives in a fast-paced environment.</w:t>
        <w:br/>
      </w:r>
    </w:p>
    <w:p>
      <w:r>
        <w:rPr>
          <w:rFonts w:ascii="Times New Roman" w:hAnsi="Times New Roman"/>
          <w:sz w:val="20"/>
        </w:rPr>
        <w:br/>
        <w:t>• Applied rigorous model governance and documentation standards, ensuring all analytical outputs are explainable, reproducible, and compliant with internal data security controls.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