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Authored Business Requirement Documents (BRDs) and Functional Requirement Specifications (FRS) for internal automation tools, ensuring full traceability of user stories and acceptance criteria.</w:t>
        <w:br/>
      </w:r>
    </w:p>
    <w:p>
      <w:r>
        <w:rPr>
          <w:rFonts w:ascii="Times New Roman" w:hAnsi="Times New Roman"/>
          <w:sz w:val="20"/>
        </w:rPr>
        <w:br/>
        <w:t>• Conducted stakeholder interviews and performed gap analysis to identify operational bottlenecks, translating findings into actionable process maps using Miro and Lucidchart.</w:t>
        <w:br/>
      </w:r>
    </w:p>
    <w:p>
      <w:r>
        <w:rPr>
          <w:rFonts w:ascii="Times New Roman" w:hAnsi="Times New Roman"/>
          <w:sz w:val="20"/>
        </w:rPr>
        <w:br/>
        <w:t>• Managed the lifecycle of AI-driven workflow integrations within a regulated framework, ensuring all documentation complied with internal audit standards and data privacy policies.</w:t>
        <w:br/>
      </w:r>
    </w:p>
    <w:p>
      <w:r>
        <w:rPr>
          <w:rFonts w:ascii="Times New Roman" w:hAnsi="Times New Roman"/>
          <w:sz w:val="20"/>
        </w:rPr>
        <w:br/>
        <w:t>• Led UAT (User Acceptance Testing) cycles for software deployments, documenting defect triage and change management activities to ensure seamless adoption by end-users.</w:t>
        <w:br/>
      </w:r>
    </w:p>
    <w:p>
      <w:r>
        <w:rPr>
          <w:rFonts w:ascii="Times New Roman" w:hAnsi="Times New Roman"/>
          <w:sz w:val="20"/>
        </w:rPr>
        <w:br/>
        <w:t>• Optimized data-heavy workflows through platform-based development, leveraging SaaS tools to support digital transformation initiatives aligned with product roadmaps.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