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Processed supplier and GBS inquiries, leveraging expertise in Microsoft Outlook and Teams to manage centralized mailboxes and track inquiry resolution, ensuring timely closure.</w:t>
        <w:br/>
      </w:r>
    </w:p>
    <w:p>
      <w:r>
        <w:rPr>
          <w:rFonts w:ascii="Times New Roman" w:hAnsi="Times New Roman"/>
          <w:sz w:val="20"/>
        </w:rPr>
        <w:br/>
        <w:t>• Developed and maintained responsible party contact directories, contributing to efficient routing of escalations and streamlined inquiry management.</w:t>
        <w:br/>
      </w:r>
    </w:p>
    <w:p>
      <w:r>
        <w:rPr>
          <w:rFonts w:ascii="Times New Roman" w:hAnsi="Times New Roman"/>
          <w:sz w:val="20"/>
        </w:rPr>
        <w:br/>
        <w:t>• Supported supplier onboarding processes by preparing essential documentation and reports, demonstrating a customer-oriented approach to global business support.</w:t>
        <w:br/>
      </w:r>
    </w:p>
    <w:p>
      <w:r>
        <w:rPr>
          <w:rFonts w:ascii="Times New Roman" w:hAnsi="Times New Roman"/>
          <w:sz w:val="20"/>
        </w:rPr>
        <w:br/>
        <w:t>• Managed multiple priorities effectively by tracking inquiry flow and resolution status, producing daily and weekly reports on inquiries and status.</w:t>
        <w:br/>
      </w:r>
    </w:p>
    <w:p>
      <w:r>
        <w:rPr>
          <w:rFonts w:ascii="Times New Roman" w:hAnsi="Times New Roman"/>
          <w:sz w:val="20"/>
        </w:rPr>
        <w:br/>
        <w:t>• Resolved complex supplier issues independently whenever possible, demonstrating strong problem-solving skills and effective stakeholder follow-up.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