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Architected automated workflows using Power Automate and Power Apps to streamline business operations, reducing manual entry and improving data consistency across SharePoint environments.</w:t>
        <w:br/>
      </w:r>
    </w:p>
    <w:p>
      <w:r>
        <w:rPr>
          <w:rFonts w:ascii="Times New Roman" w:hAnsi="Times New Roman"/>
          <w:sz w:val="20"/>
        </w:rPr>
        <w:br/>
        <w:t>• Managed end-to-end project intake, defining SOWs and acceptance criteria for cross-functional stakeholders, ensuring technical solutions aligned with business requirements and delivery timelines.</w:t>
        <w:br/>
      </w:r>
    </w:p>
    <w:p>
      <w:r>
        <w:rPr>
          <w:rFonts w:ascii="Times New Roman" w:hAnsi="Times New Roman"/>
          <w:sz w:val="20"/>
        </w:rPr>
        <w:br/>
        <w:t>• Documented complex system architectures and process diagrams, translating user needs into scalable technical specifications for M365 and Power Platform integrations.</w:t>
        <w:br/>
      </w:r>
    </w:p>
    <w:p>
      <w:r>
        <w:rPr>
          <w:rFonts w:ascii="Times New Roman" w:hAnsi="Times New Roman"/>
          <w:sz w:val="20"/>
        </w:rPr>
        <w:br/>
        <w:t>• Integrated reporting dashboards with Autodesk Construction Cloud and similar project management tools to provide real-time visibility into project status and key performance indicators.</w:t>
        <w:br/>
      </w:r>
    </w:p>
    <w:p>
      <w:r>
        <w:rPr>
          <w:rFonts w:ascii="Times New Roman" w:hAnsi="Times New Roman"/>
          <w:sz w:val="20"/>
        </w:rPr>
        <w:br/>
        <w:t>• Leveraged automated error logging and data validation frameworks within Power Platform solutions to ensure high system reliability and rapid resolution of failed runs.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