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for insurance testing data at Haven Technologies, ensuring strict adherence to PI/PHI handling and data security standards while maintaining high-quality data integrity.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document data assets and lineage for internal insurance databases, effectively utilizing data governance principles to support enterprise-wide reporting requirements.</w:t>
        <w:br/>
      </w:r>
    </w:p>
    <w:p>
      <w:r>
        <w:rPr>
          <w:rFonts w:ascii="Times New Roman" w:hAnsi="Times New Roman"/>
          <w:sz w:val="20"/>
        </w:rPr>
        <w:br/>
        <w:t>• Developed a standardized data catalog and documentation process for operational workflows, applying metadata management best practices to ensure consistent data quality and ease of access for stakeholders.</w:t>
        <w:br/>
      </w:r>
    </w:p>
    <w:p>
      <w:r>
        <w:rPr>
          <w:rFonts w:ascii="Times New Roman" w:hAnsi="Times New Roman"/>
          <w:sz w:val="20"/>
        </w:rPr>
        <w:br/>
        <w:t>• Streamlined HR-related operations by analyzing workforce performance and onboarding data to identify trends, demonstrating a strong understanding of People/HR domain metrics and reporting needs.</w:t>
        <w:br/>
      </w:r>
    </w:p>
    <w:p>
      <w:r>
        <w:rPr>
          <w:rFonts w:ascii="Times New Roman" w:hAnsi="Times New Roman"/>
          <w:sz w:val="20"/>
        </w:rPr>
        <w:br/>
        <w:t>• Partnered with project stakeholders to manage issue resolution workflows and define data quality rules, leveraging experience in SQL and data modeling to deliver reliable products in an Agile environment.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