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data reconciliation processes and managed documentation using Microsoft Access and OneNote, ensuring data integrity across complex cross-functional datasets.</w:t>
        <w:br/>
      </w:r>
    </w:p>
    <w:p>
      <w:r>
        <w:rPr>
          <w:rFonts w:ascii="Times New Roman" w:hAnsi="Times New Roman"/>
          <w:sz w:val="20"/>
        </w:rPr>
        <w:br/>
        <w:t>• Built and maintained time series and predictive models to segment customer behavior, providing actionable insights that informed strategic planning and increased acquisition by 300%.</w:t>
        <w:br/>
      </w:r>
    </w:p>
    <w:p>
      <w:r>
        <w:rPr>
          <w:rFonts w:ascii="Times New Roman" w:hAnsi="Times New Roman"/>
          <w:sz w:val="20"/>
        </w:rPr>
        <w:br/>
        <w:t>• Developed automated workflows equivalent to Alteryx-style data preparation, utilizing Python and SQL to clean and transform raw data into analytics-ready tables for stakeholders.</w:t>
        <w:br/>
      </w:r>
    </w:p>
    <w:p>
      <w:r>
        <w:rPr>
          <w:rFonts w:ascii="Times New Roman" w:hAnsi="Times New Roman"/>
          <w:sz w:val="20"/>
        </w:rPr>
        <w:br/>
        <w:t>• Collaborated with cross-functional teams at Haven Technologies to align data reporting with complex business requirements, successfully translating technical metrics for non-technical stakeholders.</w:t>
        <w:br/>
      </w:r>
    </w:p>
    <w:p>
      <w:r>
        <w:rPr>
          <w:rFonts w:ascii="Times New Roman" w:hAnsi="Times New Roman"/>
          <w:sz w:val="20"/>
        </w:rPr>
        <w:br/>
        <w:t>• Applied rigorous data validation and quality assurance protocols to all reporting workflows, ensuring high-accuracy data delivery for sensitive business-critical reporting.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