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operational workflows by designing predictive models to forecast schedule operability and identify potential disruption risks, mirroring network planning environments.</w:t>
        <w:br/>
      </w:r>
    </w:p>
    <w:p>
      <w:r>
        <w:rPr>
          <w:rFonts w:ascii="Times New Roman" w:hAnsi="Times New Roman"/>
          <w:sz w:val="20"/>
        </w:rPr>
        <w:br/>
        <w:t>• Collaborated with cross-functional leadership to translate complex data into actionable PowerPoint presentations, ensuring alignment on schedule optimization and resource allocation strategies.</w:t>
        <w:br/>
      </w:r>
    </w:p>
    <w:p>
      <w:r>
        <w:rPr>
          <w:rFonts w:ascii="Times New Roman" w:hAnsi="Times New Roman"/>
          <w:sz w:val="20"/>
        </w:rPr>
        <w:br/>
        <w:t>• Led operations planning initiatives at Shine Masters, leveraging Python and SQL to identify process inefficiencies and streamline service scheduling, resulting in a 40% increase in operational throughput.</w:t>
        <w:br/>
      </w:r>
    </w:p>
    <w:p>
      <w:r>
        <w:rPr>
          <w:rFonts w:ascii="Times New Roman" w:hAnsi="Times New Roman"/>
          <w:sz w:val="20"/>
        </w:rPr>
        <w:br/>
        <w:t>• Developed automated reporting tools to track key performance indicators, providing stakeholders with real-time visibility into operational health and network-wide scheduling outcomes.</w:t>
        <w:br/>
      </w:r>
    </w:p>
    <w:p>
      <w:r>
        <w:rPr>
          <w:rFonts w:ascii="Times New Roman" w:hAnsi="Times New Roman"/>
          <w:sz w:val="20"/>
        </w:rPr>
        <w:br/>
        <w:t>• Applied rigorous analytical techniques to assess the impact of demand-side changes on resource availability, supporting strategic capacity planning and long-term network efficiency.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