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Partnered with cross-functional leaders to translate complex data insights into strategic business cases, successfully presenting recommendations to senior leadership to align on loyalty program initiatives.</w:t>
        <w:br/>
      </w:r>
    </w:p>
    <w:p>
      <w:r>
        <w:rPr>
          <w:rFonts w:ascii="Times New Roman" w:hAnsi="Times New Roman"/>
          <w:sz w:val="20"/>
        </w:rPr>
        <w:br/>
        <w:t>• Managed loyalty program reporting by analyzing campaign metrics, budgets, and ROI to evaluate performance and provide actionable feedback for program optimization.</w:t>
        <w:br/>
      </w:r>
    </w:p>
    <w:p>
      <w:r>
        <w:rPr>
          <w:rFonts w:ascii="Times New Roman" w:hAnsi="Times New Roman"/>
          <w:sz w:val="20"/>
        </w:rPr>
        <w:br/>
        <w:t>• Utilized SQL and advanced Excel to perform quantitative analysis on loyalty economics, monitoring program health metrics and identifying trends in customer engagement.</w:t>
        <w:br/>
      </w:r>
    </w:p>
    <w:p>
      <w:r>
        <w:rPr>
          <w:rFonts w:ascii="Times New Roman" w:hAnsi="Times New Roman"/>
          <w:sz w:val="20"/>
        </w:rPr>
        <w:br/>
        <w:t>• Leveraged collaborative problem-solving skills to navigate cross-functional partnerships with Marketing and Operations, ensuring data literacy and alignment across all business stakeholders.</w:t>
        <w:br/>
      </w:r>
    </w:p>
    <w:p>
      <w:r>
        <w:rPr>
          <w:rFonts w:ascii="Times New Roman" w:hAnsi="Times New Roman"/>
          <w:sz w:val="20"/>
        </w:rPr>
        <w:br/>
        <w:t>• Developed a comprehensive understanding of program health by monitoring key performance indicators (KPIs) and forecasting future engagement trends to support the broader Loyalty organization.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