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business cases and conducted ROI analysis for marketing campaigns, ensuring initiatives met profitability targets and provided strategic recommendations to stakeholders.</w:t>
        <w:br/>
      </w:r>
    </w:p>
    <w:p>
      <w:r>
        <w:rPr>
          <w:rFonts w:ascii="Times New Roman" w:hAnsi="Times New Roman"/>
          <w:sz w:val="20"/>
        </w:rPr>
        <w:br/>
        <w:t>• Designed and executed multivariate A/B testing on marketing assets to optimize customer acquisition performance, resulting in a 15% improvement in conversion rates.</w:t>
        <w:br/>
      </w:r>
    </w:p>
    <w:p>
      <w:r>
        <w:rPr>
          <w:rFonts w:ascii="Times New Roman" w:hAnsi="Times New Roman"/>
          <w:sz w:val="20"/>
        </w:rPr>
        <w:br/>
        <w:t>• Utilized economic forecasting models to analyze historical trends and project future co-brand acquisition volume, supporting budget allocation and resource planning.</w:t>
        <w:br/>
      </w:r>
    </w:p>
    <w:p>
      <w:r>
        <w:rPr>
          <w:rFonts w:ascii="Times New Roman" w:hAnsi="Times New Roman"/>
          <w:sz w:val="20"/>
        </w:rPr>
        <w:br/>
        <w:t>• Collaborated within a matrix-based organization by coordinating with product, marketing, and finance departments to align acquisition strategies with company-wide goals.</w:t>
        <w:br/>
      </w:r>
    </w:p>
    <w:p>
      <w:r>
        <w:rPr>
          <w:rFonts w:ascii="Times New Roman" w:hAnsi="Times New Roman"/>
          <w:sz w:val="20"/>
        </w:rPr>
        <w:br/>
        <w:t>• Performed net present value (NPV) analysis to evaluate the long-term profitability of customer segments, informing high-value acquisition strategies.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