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stakeholders in a fast-paced environment, leveraging PowerPoint and advanced Excel modeling to translate complex data findings into actionable commercial insights for executive review.</w:t>
        <w:br/>
      </w:r>
    </w:p>
    <w:p>
      <w:r>
        <w:rPr>
          <w:rFonts w:ascii="Times New Roman" w:hAnsi="Times New Roman"/>
          <w:sz w:val="20"/>
        </w:rPr>
        <w:br/>
        <w:t>• Led end-to-end analytical workstreams for client projects, applying hypothesis-led problem solving to identify operational bottlenecks and deliver high-impact, data-driven recommendations.</w:t>
        <w:br/>
      </w:r>
    </w:p>
    <w:p>
      <w:r>
        <w:rPr>
          <w:rFonts w:ascii="Times New Roman" w:hAnsi="Times New Roman"/>
          <w:sz w:val="20"/>
        </w:rPr>
        <w:br/>
        <w:t>• Mentored junior team members on data best practices and documentation standards, fostering a collaborative environment that improved team productivity by 25%.</w:t>
        <w:br/>
      </w:r>
    </w:p>
    <w:p>
      <w:r>
        <w:rPr>
          <w:rFonts w:ascii="Times New Roman" w:hAnsi="Times New Roman"/>
          <w:sz w:val="20"/>
        </w:rPr>
        <w:br/>
        <w:t>• Partnered with global delivery teams to integrate multi-source data, ensuring consistent, high-quality analytical outputs that meet the rigors of private equity and growth-stage business requirements.</w:t>
        <w:br/>
      </w:r>
    </w:p>
    <w:p>
      <w:r>
        <w:rPr>
          <w:rFonts w:ascii="Times New Roman" w:hAnsi="Times New Roman"/>
          <w:sz w:val="20"/>
        </w:rPr>
        <w:br/>
        <w:t>• Streamlined data workflows by integrating Alteryx-style automation principles into Python-based pipelines, reducing processing time and ensuring accurate, scalable data delivery for key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