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translate business requirements into technical documentation and reporting specifications, ensuring alignment with organizational data standards.</w:t>
        <w:br/>
      </w:r>
    </w:p>
    <w:p>
      <w:r>
        <w:rPr>
          <w:rFonts w:ascii="Times New Roman" w:hAnsi="Times New Roman"/>
          <w:sz w:val="20"/>
        </w:rPr>
        <w:br/>
        <w:t>• Performed rigorous data validation and reconciliation of CRM and POS datasets to identify root-cause discrepancies, ensuring high data integrity for critical business reporting.</w:t>
        <w:br/>
      </w:r>
    </w:p>
    <w:p>
      <w:r>
        <w:rPr>
          <w:rFonts w:ascii="Times New Roman" w:hAnsi="Times New Roman"/>
          <w:sz w:val="20"/>
        </w:rPr>
        <w:br/>
        <w:t>• Partnered with business stakeholders to facilitate the intake and tracking of data requests, maintaining detailed documentation of reporting logic and definitions.</w:t>
        <w:br/>
      </w:r>
    </w:p>
    <w:p>
      <w:r>
        <w:rPr>
          <w:rFonts w:ascii="Times New Roman" w:hAnsi="Times New Roman"/>
          <w:sz w:val="20"/>
        </w:rPr>
        <w:br/>
        <w:t>• Utilized SQL to extract and manipulate large datasets for ad-hoc analysis and performance audits, supporting data warehouse usability for end-users.</w:t>
        <w:br/>
      </w:r>
    </w:p>
    <w:p>
      <w:r>
        <w:rPr>
          <w:rFonts w:ascii="Times New Roman" w:hAnsi="Times New Roman"/>
          <w:sz w:val="20"/>
        </w:rPr>
        <w:br/>
        <w:t>• Leveraged experience in BI tool development (Power BI/Looker) to maintain and update recurring performance reports, effectively translating technical metrics for non-technical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